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15" w:lineRule="atLeast"/>
        <w:ind w:firstLine="1751" w:firstLineChars="545"/>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辽宁科技大学</w:t>
      </w:r>
      <w:r>
        <w:rPr>
          <w:rFonts w:hint="eastAsia" w:ascii="黑体" w:hAnsi="黑体" w:eastAsia="黑体"/>
          <w:b/>
          <w:sz w:val="32"/>
          <w:szCs w:val="32"/>
          <w:u w:val="single"/>
        </w:rPr>
        <w:t>_工商管理学_</w:t>
      </w:r>
      <w:r>
        <w:rPr>
          <w:rFonts w:hint="eastAsia" w:ascii="宋体" w:hAnsi="宋体" w:eastAsia="宋体" w:cs="宋体"/>
          <w:b/>
          <w:bCs/>
          <w:color w:val="000000"/>
          <w:kern w:val="0"/>
          <w:sz w:val="32"/>
          <w:szCs w:val="32"/>
        </w:rPr>
        <w:t>学科（类别）</w:t>
      </w:r>
    </w:p>
    <w:p>
      <w:pPr>
        <w:widowControl/>
        <w:shd w:val="clear" w:color="auto" w:fill="FFFFFF"/>
        <w:spacing w:line="315" w:lineRule="atLeast"/>
        <w:jc w:val="center"/>
        <w:rPr>
          <w:rFonts w:ascii="Calibri" w:hAnsi="Calibri" w:eastAsia="宋体" w:cs="宋体"/>
          <w:color w:val="000000"/>
          <w:kern w:val="0"/>
          <w:szCs w:val="21"/>
        </w:rPr>
      </w:pPr>
      <w:r>
        <w:rPr>
          <w:rFonts w:hint="eastAsia" w:ascii="宋体" w:hAnsi="宋体" w:eastAsia="宋体" w:cs="宋体"/>
          <w:b/>
          <w:bCs/>
          <w:color w:val="000000"/>
          <w:kern w:val="0"/>
          <w:sz w:val="32"/>
          <w:szCs w:val="32"/>
        </w:rPr>
        <w:t>硕士学位授予标准</w:t>
      </w:r>
    </w:p>
    <w:p>
      <w:pPr>
        <w:widowControl/>
        <w:shd w:val="clear" w:color="auto" w:fill="FFFFFF"/>
        <w:spacing w:line="315"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(学科类别代码：1</w:t>
      </w:r>
      <w:r>
        <w:rPr>
          <w:rFonts w:ascii="宋体" w:hAnsi="宋体" w:eastAsia="宋体" w:cs="宋体"/>
          <w:color w:val="000000"/>
          <w:kern w:val="0"/>
          <w:sz w:val="24"/>
          <w:szCs w:val="24"/>
        </w:rPr>
        <w:t>202</w:t>
      </w:r>
      <w:r>
        <w:rPr>
          <w:rFonts w:hint="eastAsia" w:ascii="宋体" w:hAnsi="宋体" w:eastAsia="宋体" w:cs="宋体"/>
          <w:color w:val="000000"/>
          <w:kern w:val="0"/>
          <w:sz w:val="24"/>
          <w:szCs w:val="24"/>
        </w:rPr>
        <w:t>)</w:t>
      </w:r>
    </w:p>
    <w:p>
      <w:pPr>
        <w:widowControl/>
        <w:shd w:val="clear" w:color="auto" w:fill="FFFFFF"/>
        <w:spacing w:line="315" w:lineRule="atLeast"/>
        <w:jc w:val="center"/>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第一部分  培养目标与培养方向</w:t>
      </w:r>
    </w:p>
    <w:p>
      <w:pPr>
        <w:ind w:firstLine="560" w:firstLineChars="200"/>
        <w:rPr>
          <w:bCs/>
          <w:color w:val="000000"/>
          <w:sz w:val="28"/>
          <w:szCs w:val="28"/>
          <w:shd w:val="clear" w:color="auto" w:fill="FFFFFF"/>
        </w:rPr>
      </w:pPr>
      <w:r>
        <w:rPr>
          <w:rFonts w:hint="eastAsia"/>
          <w:bCs/>
          <w:color w:val="000000"/>
          <w:sz w:val="28"/>
          <w:szCs w:val="28"/>
          <w:shd w:val="clear" w:color="auto" w:fill="FFFFFF"/>
        </w:rPr>
        <w:t>一、培养目标</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培养政治信仰坚定，拥护社会主义和中国共产党的领导，爱岗敬业、遵纪守法，具有严谨的科学态度、扎实的理论基础、较强的分析能力、突出的创新精神，能够综合运用本学科的理论、方法与技能，独立开展科学研究及从事工商企业管理工作的研究应用型高层次人才。</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具体要求：</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1.具备跟踪、了解学科发展前沿与学术动态，深入研究本学科理论的能力。</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2.具备较高的文字表达、人际沟通、信息获取与知识更新能力。</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3.具备创造性运用本学科理论知识，解决工商企业管理的实际问题的能力。</w:t>
      </w:r>
    </w:p>
    <w:p>
      <w:pPr>
        <w:ind w:firstLine="560" w:firstLineChars="200"/>
        <w:rPr>
          <w:bCs/>
          <w:color w:val="000000"/>
          <w:sz w:val="28"/>
          <w:szCs w:val="28"/>
          <w:shd w:val="clear" w:color="auto" w:fill="FFFFFF"/>
        </w:rPr>
      </w:pPr>
      <w:r>
        <w:rPr>
          <w:rFonts w:hint="eastAsia"/>
          <w:bCs/>
          <w:color w:val="000000"/>
          <w:sz w:val="28"/>
          <w:szCs w:val="28"/>
          <w:shd w:val="clear" w:color="auto" w:fill="FFFFFF"/>
        </w:rPr>
        <w:t>二、培养方向</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1.创新管理与可持续发展</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2.组织行为与人力资源管理</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3.会计与财务管理</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4.供应链与营销管理</w:t>
      </w:r>
    </w:p>
    <w:p>
      <w:pPr>
        <w:ind w:firstLine="420" w:firstLineChars="200"/>
        <w:rPr>
          <w:rFonts w:ascii="Calibri" w:hAnsi="Calibri" w:eastAsia="宋体" w:cs="宋体"/>
          <w:color w:val="000000"/>
          <w:kern w:val="0"/>
          <w:szCs w:val="21"/>
        </w:rPr>
      </w:pPr>
    </w:p>
    <w:p>
      <w:pPr>
        <w:widowControl/>
        <w:shd w:val="clear" w:color="auto" w:fill="FFFFFF"/>
        <w:spacing w:line="315" w:lineRule="atLeast"/>
        <w:jc w:val="center"/>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第二部分  硕士学位授予标准</w:t>
      </w:r>
    </w:p>
    <w:p>
      <w:pPr>
        <w:ind w:firstLine="560" w:firstLineChars="200"/>
        <w:rPr>
          <w:bCs/>
          <w:color w:val="000000"/>
          <w:sz w:val="28"/>
          <w:szCs w:val="28"/>
          <w:shd w:val="clear" w:color="auto" w:fill="FFFFFF"/>
        </w:rPr>
      </w:pPr>
      <w:r>
        <w:rPr>
          <w:rFonts w:hint="eastAsia"/>
          <w:bCs/>
          <w:color w:val="000000"/>
          <w:sz w:val="28"/>
          <w:szCs w:val="28"/>
          <w:shd w:val="clear" w:color="auto" w:fill="FFFFFF"/>
        </w:rPr>
        <w:t>一、获本学科（类别）硕士学位应掌握的基本知识</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获本学科（类别）硕士学位需掌握管理学、经济学、行为学、心理学、数学等必需的基础知识，针对不同培养方向的相关专业知识，以及不同培养方向开展研究所需的研究方法、分析工具的知识（由导师自行确定）。</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本学科硕士研究的课程体系由</w:t>
      </w:r>
      <w:r>
        <w:rPr>
          <w:rFonts w:ascii="宋体" w:hAnsi="宋体" w:eastAsia="宋体" w:cs="宋体"/>
          <w:color w:val="000000"/>
          <w:kern w:val="0"/>
          <w:sz w:val="24"/>
          <w:szCs w:val="24"/>
        </w:rPr>
        <w:t>必修课（18学分）</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选修课（4学分）</w:t>
      </w:r>
      <w:r>
        <w:rPr>
          <w:rFonts w:hint="eastAsia" w:ascii="宋体" w:hAnsi="宋体" w:eastAsia="宋体" w:cs="宋体"/>
          <w:color w:val="000000"/>
          <w:kern w:val="0"/>
          <w:sz w:val="24"/>
          <w:szCs w:val="24"/>
        </w:rPr>
        <w:t>和</w:t>
      </w:r>
      <w:r>
        <w:rPr>
          <w:rFonts w:ascii="宋体" w:hAnsi="宋体" w:eastAsia="宋体" w:cs="宋体"/>
          <w:color w:val="000000"/>
          <w:kern w:val="0"/>
          <w:sz w:val="24"/>
          <w:szCs w:val="24"/>
        </w:rPr>
        <w:t>补修课</w:t>
      </w:r>
      <w:r>
        <w:rPr>
          <w:rFonts w:hint="eastAsia" w:ascii="宋体" w:hAnsi="宋体" w:eastAsia="宋体" w:cs="宋体"/>
          <w:color w:val="000000"/>
          <w:kern w:val="0"/>
          <w:sz w:val="24"/>
          <w:szCs w:val="24"/>
        </w:rPr>
        <w:t>及必修环节（1</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学分）构成，具体的课程设置如下表。</w:t>
      </w:r>
    </w:p>
    <w:p>
      <w:pPr>
        <w:jc w:val="center"/>
        <w:rPr>
          <w:b/>
          <w:bCs/>
          <w:szCs w:val="21"/>
        </w:rPr>
      </w:pPr>
      <w:r>
        <w:rPr>
          <w:rFonts w:hint="eastAsia"/>
          <w:b/>
          <w:bCs/>
          <w:szCs w:val="21"/>
        </w:rPr>
        <w:t>工商管理学科全日制硕士研究生课程设置一览表</w:t>
      </w:r>
    </w:p>
    <w:tbl>
      <w:tblPr>
        <w:tblStyle w:val="4"/>
        <w:tblW w:w="100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390"/>
        <w:gridCol w:w="1341"/>
        <w:gridCol w:w="1485"/>
        <w:gridCol w:w="777"/>
        <w:gridCol w:w="798"/>
        <w:gridCol w:w="720"/>
        <w:gridCol w:w="720"/>
        <w:gridCol w:w="1663"/>
        <w:gridCol w:w="709"/>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exact"/>
          <w:jc w:val="center"/>
        </w:trPr>
        <w:tc>
          <w:tcPr>
            <w:tcW w:w="609" w:type="dxa"/>
            <w:vAlign w:val="center"/>
          </w:tcPr>
          <w:p>
            <w:pPr>
              <w:jc w:val="center"/>
              <w:rPr>
                <w:rFonts w:ascii="宋体" w:hAnsi="宋体" w:eastAsia="宋体" w:cs="宋体"/>
                <w:szCs w:val="21"/>
              </w:rPr>
            </w:pPr>
            <w:r>
              <w:rPr>
                <w:rFonts w:hint="eastAsia" w:ascii="宋体" w:hAnsi="宋体" w:eastAsia="宋体" w:cs="宋体"/>
                <w:szCs w:val="21"/>
              </w:rPr>
              <w:t>类别</w:t>
            </w:r>
          </w:p>
        </w:tc>
        <w:tc>
          <w:tcPr>
            <w:tcW w:w="1731" w:type="dxa"/>
            <w:gridSpan w:val="2"/>
            <w:vAlign w:val="center"/>
          </w:tcPr>
          <w:p>
            <w:pPr>
              <w:jc w:val="center"/>
              <w:rPr>
                <w:rFonts w:ascii="宋体" w:hAnsi="宋体" w:eastAsia="宋体" w:cs="宋体"/>
                <w:szCs w:val="21"/>
              </w:rPr>
            </w:pPr>
            <w:r>
              <w:rPr>
                <w:rFonts w:hint="eastAsia" w:ascii="宋体" w:hAnsi="宋体" w:eastAsia="宋体" w:cs="宋体"/>
                <w:szCs w:val="21"/>
              </w:rPr>
              <w:t>课程性质</w:t>
            </w:r>
          </w:p>
          <w:p>
            <w:pPr>
              <w:jc w:val="center"/>
              <w:rPr>
                <w:rFonts w:ascii="宋体" w:hAnsi="宋体" w:eastAsia="宋体" w:cs="宋体"/>
                <w:szCs w:val="21"/>
              </w:rPr>
            </w:pPr>
            <w:r>
              <w:rPr>
                <w:rFonts w:hint="eastAsia" w:ascii="宋体" w:hAnsi="宋体" w:eastAsia="宋体" w:cs="宋体"/>
                <w:szCs w:val="21"/>
              </w:rPr>
              <w:t>及编号</w:t>
            </w:r>
          </w:p>
        </w:tc>
        <w:tc>
          <w:tcPr>
            <w:tcW w:w="2262" w:type="dxa"/>
            <w:gridSpan w:val="2"/>
            <w:vAlign w:val="center"/>
          </w:tcPr>
          <w:p>
            <w:pPr>
              <w:jc w:val="center"/>
              <w:rPr>
                <w:rFonts w:ascii="宋体" w:hAnsi="宋体" w:eastAsia="宋体" w:cs="宋体"/>
                <w:szCs w:val="21"/>
              </w:rPr>
            </w:pPr>
            <w:r>
              <w:rPr>
                <w:rFonts w:hint="eastAsia" w:ascii="宋体" w:hAnsi="宋体" w:eastAsia="宋体" w:cs="宋体"/>
                <w:szCs w:val="21"/>
              </w:rPr>
              <w:t>课程名称</w:t>
            </w:r>
          </w:p>
        </w:tc>
        <w:tc>
          <w:tcPr>
            <w:tcW w:w="798" w:type="dxa"/>
            <w:vAlign w:val="center"/>
          </w:tcPr>
          <w:p>
            <w:pPr>
              <w:jc w:val="center"/>
              <w:rPr>
                <w:rFonts w:ascii="宋体" w:hAnsi="宋体" w:eastAsia="宋体" w:cs="宋体"/>
                <w:szCs w:val="21"/>
              </w:rPr>
            </w:pPr>
            <w:r>
              <w:rPr>
                <w:rFonts w:hint="eastAsia" w:ascii="宋体" w:hAnsi="宋体" w:eastAsia="宋体" w:cs="宋体"/>
                <w:szCs w:val="21"/>
              </w:rPr>
              <w:t>开课学期</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总学时数</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学分</w:t>
            </w:r>
          </w:p>
        </w:tc>
        <w:tc>
          <w:tcPr>
            <w:tcW w:w="1663" w:type="dxa"/>
            <w:vAlign w:val="center"/>
          </w:tcPr>
          <w:p>
            <w:pPr>
              <w:jc w:val="center"/>
              <w:rPr>
                <w:rFonts w:ascii="宋体" w:hAnsi="宋体" w:eastAsia="宋体" w:cs="宋体"/>
                <w:szCs w:val="21"/>
              </w:rPr>
            </w:pPr>
            <w:r>
              <w:rPr>
                <w:rFonts w:hint="eastAsia" w:ascii="宋体" w:hAnsi="宋体" w:eastAsia="宋体" w:cs="宋体"/>
                <w:szCs w:val="21"/>
              </w:rPr>
              <w:t>授课单位</w:t>
            </w:r>
          </w:p>
          <w:p>
            <w:pPr>
              <w:jc w:val="center"/>
              <w:rPr>
                <w:rFonts w:ascii="宋体" w:hAnsi="宋体" w:eastAsia="宋体" w:cs="宋体"/>
                <w:szCs w:val="21"/>
              </w:rPr>
            </w:pPr>
            <w:r>
              <w:rPr>
                <w:rFonts w:hint="eastAsia" w:ascii="宋体" w:hAnsi="宋体" w:eastAsia="宋体" w:cs="宋体"/>
                <w:szCs w:val="21"/>
              </w:rPr>
              <w:t>或教师</w:t>
            </w:r>
          </w:p>
        </w:tc>
        <w:tc>
          <w:tcPr>
            <w:tcW w:w="709" w:type="dxa"/>
            <w:vAlign w:val="center"/>
          </w:tcPr>
          <w:p>
            <w:pPr>
              <w:jc w:val="center"/>
              <w:rPr>
                <w:rFonts w:ascii="宋体" w:hAnsi="宋体" w:eastAsia="宋体" w:cs="宋体"/>
                <w:szCs w:val="21"/>
              </w:rPr>
            </w:pPr>
            <w:r>
              <w:rPr>
                <w:rFonts w:hint="eastAsia" w:ascii="宋体" w:hAnsi="宋体" w:eastAsia="宋体" w:cs="宋体"/>
                <w:szCs w:val="21"/>
              </w:rPr>
              <w:t>考核方式</w:t>
            </w:r>
          </w:p>
        </w:tc>
        <w:tc>
          <w:tcPr>
            <w:tcW w:w="796" w:type="dxa"/>
            <w:vAlign w:val="center"/>
          </w:tcPr>
          <w:p>
            <w:pPr>
              <w:jc w:val="center"/>
              <w:rPr>
                <w:rFonts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restart"/>
            <w:vAlign w:val="center"/>
          </w:tcPr>
          <w:p>
            <w:pPr>
              <w:rPr>
                <w:rFonts w:ascii="宋体" w:hAnsi="宋体" w:eastAsia="宋体" w:cs="宋体"/>
                <w:b/>
                <w:bCs/>
                <w:szCs w:val="21"/>
              </w:rPr>
            </w:pPr>
            <w:r>
              <w:rPr>
                <w:rFonts w:hint="eastAsia" w:ascii="宋体" w:hAnsi="宋体" w:eastAsia="宋体" w:cs="宋体"/>
                <w:b/>
                <w:bCs/>
                <w:szCs w:val="21"/>
              </w:rPr>
              <w:t>必修课</w:t>
            </w:r>
          </w:p>
        </w:tc>
        <w:tc>
          <w:tcPr>
            <w:tcW w:w="390" w:type="dxa"/>
            <w:vMerge w:val="restart"/>
            <w:vAlign w:val="center"/>
          </w:tcPr>
          <w:p>
            <w:pPr>
              <w:rPr>
                <w:rFonts w:ascii="宋体" w:hAnsi="宋体" w:eastAsia="宋体" w:cs="宋体"/>
                <w:bCs/>
                <w:szCs w:val="21"/>
              </w:rPr>
            </w:pPr>
            <w:r>
              <w:rPr>
                <w:rFonts w:hint="eastAsia" w:ascii="宋体" w:hAnsi="宋体" w:eastAsia="宋体" w:cs="宋体"/>
                <w:bCs/>
                <w:szCs w:val="21"/>
              </w:rPr>
              <w:t>学位公共课</w:t>
            </w: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0421001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中国特色科学社会主义理论与实践研究</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人文社科部</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0421002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自然辩证法概论</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人文社科部</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0321001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第一外国语（英语）</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100</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4</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外语学院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Merge w:val="restart"/>
            <w:vAlign w:val="center"/>
          </w:tcPr>
          <w:p>
            <w:pPr>
              <w:jc w:val="center"/>
              <w:rPr>
                <w:rFonts w:ascii="宋体" w:hAnsi="宋体" w:eastAsia="宋体" w:cs="宋体"/>
                <w:bCs/>
                <w:szCs w:val="21"/>
              </w:rPr>
            </w:pPr>
            <w:r>
              <w:rPr>
                <w:rFonts w:hint="eastAsia" w:ascii="宋体" w:hAnsi="宋体" w:eastAsia="宋体" w:cs="宋体"/>
                <w:bCs/>
                <w:szCs w:val="21"/>
              </w:rPr>
              <w:t>必修1门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0621001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第一外国语（日语）</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100</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4</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国际教育学院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0621002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第一外国语（俄语）</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100</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4</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国际教育学院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
                <w:bCs/>
                <w:szCs w:val="21"/>
              </w:rPr>
            </w:pPr>
          </w:p>
        </w:tc>
        <w:tc>
          <w:tcPr>
            <w:tcW w:w="1341" w:type="dxa"/>
            <w:vAlign w:val="center"/>
          </w:tcPr>
          <w:p>
            <w:pPr>
              <w:jc w:val="center"/>
              <w:rPr>
                <w:rFonts w:ascii="宋体" w:hAnsi="宋体" w:eastAsia="宋体" w:cs="宋体"/>
                <w:bCs/>
                <w:szCs w:val="21"/>
              </w:rPr>
            </w:pP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数理类课程</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48</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restart"/>
            <w:vAlign w:val="center"/>
          </w:tcPr>
          <w:p>
            <w:pPr>
              <w:rPr>
                <w:rFonts w:ascii="宋体" w:hAnsi="宋体" w:eastAsia="宋体" w:cs="宋体"/>
                <w:bCs/>
                <w:szCs w:val="21"/>
              </w:rPr>
            </w:pPr>
            <w:r>
              <w:rPr>
                <w:rFonts w:hint="eastAsia" w:ascii="宋体" w:hAnsi="宋体" w:eastAsia="宋体" w:cs="宋体"/>
                <w:bCs/>
                <w:szCs w:val="21"/>
              </w:rPr>
              <w:t>学位基础课</w:t>
            </w: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7121001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高级管理学</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7121002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中级经济学</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restart"/>
            <w:vAlign w:val="center"/>
          </w:tcPr>
          <w:p>
            <w:pPr>
              <w:rPr>
                <w:rFonts w:ascii="宋体" w:hAnsi="宋体" w:eastAsia="宋体" w:cs="宋体"/>
                <w:bCs/>
                <w:szCs w:val="21"/>
              </w:rPr>
            </w:pPr>
            <w:r>
              <w:rPr>
                <w:rFonts w:hint="eastAsia" w:ascii="宋体" w:hAnsi="宋体" w:eastAsia="宋体" w:cs="宋体"/>
                <w:bCs/>
                <w:szCs w:val="21"/>
              </w:rPr>
              <w:t>学位专业课</w:t>
            </w: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7121003</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计量经济学</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7121004</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创新管理</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考试</w:t>
            </w:r>
          </w:p>
        </w:tc>
        <w:tc>
          <w:tcPr>
            <w:tcW w:w="796" w:type="dxa"/>
            <w:vAlign w:val="center"/>
          </w:tcPr>
          <w:p>
            <w:pPr>
              <w:jc w:val="center"/>
              <w:rPr>
                <w:rFonts w:ascii="宋体" w:hAnsi="宋体" w:eastAsia="宋体" w:cs="宋体"/>
                <w:bCs/>
                <w:szCs w:val="21"/>
              </w:rPr>
            </w:pPr>
            <w:r>
              <w:rPr>
                <w:rFonts w:hint="eastAsia" w:ascii="宋体" w:hAnsi="宋体" w:eastAsia="宋体" w:cs="宋体"/>
                <w:bCs/>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restart"/>
            <w:vAlign w:val="center"/>
          </w:tcPr>
          <w:p>
            <w:pPr>
              <w:rPr>
                <w:rFonts w:ascii="宋体" w:hAnsi="宋体" w:eastAsia="宋体" w:cs="宋体"/>
                <w:b/>
                <w:bCs/>
                <w:szCs w:val="21"/>
              </w:rPr>
            </w:pPr>
            <w:r>
              <w:rPr>
                <w:rFonts w:hint="eastAsia" w:ascii="宋体" w:hAnsi="宋体" w:eastAsia="宋体" w:cs="宋体"/>
                <w:b/>
                <w:bCs/>
                <w:szCs w:val="21"/>
              </w:rPr>
              <w:t>选修课</w:t>
            </w:r>
          </w:p>
        </w:tc>
        <w:tc>
          <w:tcPr>
            <w:tcW w:w="390" w:type="dxa"/>
            <w:vMerge w:val="restart"/>
            <w:vAlign w:val="center"/>
          </w:tcPr>
          <w:p>
            <w:pPr>
              <w:rPr>
                <w:rFonts w:ascii="宋体" w:hAnsi="宋体" w:eastAsia="宋体" w:cs="宋体"/>
                <w:bCs/>
                <w:szCs w:val="21"/>
              </w:rPr>
            </w:pPr>
            <w:r>
              <w:rPr>
                <w:rFonts w:hint="eastAsia" w:ascii="宋体" w:hAnsi="宋体" w:eastAsia="宋体" w:cs="宋体"/>
                <w:bCs/>
                <w:szCs w:val="21"/>
              </w:rPr>
              <w:t>前沿课</w:t>
            </w: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szCs w:val="21"/>
              </w:rPr>
              <w:t>创新管理与可持续发展前沿讲座</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restart"/>
            <w:vAlign w:val="center"/>
          </w:tcPr>
          <w:p>
            <w:pPr>
              <w:jc w:val="center"/>
              <w:rPr>
                <w:rFonts w:ascii="宋体" w:hAnsi="宋体" w:eastAsia="宋体" w:cs="宋体"/>
                <w:bCs/>
                <w:szCs w:val="21"/>
              </w:rPr>
            </w:pPr>
            <w:r>
              <w:rPr>
                <w:rFonts w:hint="eastAsia" w:ascii="宋体" w:hAnsi="宋体" w:eastAsia="宋体" w:cs="宋体"/>
                <w:bCs/>
                <w:szCs w:val="21"/>
              </w:rPr>
              <w:t>必选2学分（本方向必1学分）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szCs w:val="21"/>
              </w:rPr>
              <w:t>组织行为与人力资源管理前沿讲座</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7122003</w:t>
            </w:r>
          </w:p>
        </w:tc>
        <w:tc>
          <w:tcPr>
            <w:tcW w:w="2262" w:type="dxa"/>
            <w:gridSpan w:val="2"/>
            <w:vAlign w:val="center"/>
          </w:tcPr>
          <w:p>
            <w:pPr>
              <w:jc w:val="center"/>
              <w:rPr>
                <w:rFonts w:ascii="宋体" w:hAnsi="宋体" w:eastAsia="宋体" w:cs="宋体"/>
                <w:szCs w:val="21"/>
              </w:rPr>
            </w:pPr>
            <w:r>
              <w:rPr>
                <w:rFonts w:hint="eastAsia" w:ascii="宋体" w:hAnsi="宋体" w:eastAsia="宋体" w:cs="宋体"/>
                <w:szCs w:val="21"/>
              </w:rPr>
              <w:t>会计与财务管理前沿讲座</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7122004</w:t>
            </w:r>
          </w:p>
        </w:tc>
        <w:tc>
          <w:tcPr>
            <w:tcW w:w="2262" w:type="dxa"/>
            <w:gridSpan w:val="2"/>
            <w:vAlign w:val="center"/>
          </w:tcPr>
          <w:p>
            <w:pPr>
              <w:jc w:val="center"/>
              <w:rPr>
                <w:rFonts w:ascii="宋体" w:hAnsi="宋体" w:eastAsia="宋体" w:cs="宋体"/>
                <w:szCs w:val="21"/>
              </w:rPr>
            </w:pPr>
            <w:r>
              <w:rPr>
                <w:rFonts w:hint="eastAsia" w:ascii="宋体" w:hAnsi="宋体" w:eastAsia="宋体" w:cs="宋体"/>
                <w:szCs w:val="21"/>
              </w:rPr>
              <w:t>供应链与营销管理前沿讲座</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609" w:type="dxa"/>
            <w:vMerge w:val="continue"/>
            <w:vAlign w:val="center"/>
          </w:tcPr>
          <w:p>
            <w:pPr>
              <w:rPr>
                <w:rFonts w:ascii="宋体" w:hAnsi="宋体" w:eastAsia="宋体" w:cs="宋体"/>
                <w:b/>
                <w:bCs/>
                <w:szCs w:val="21"/>
              </w:rPr>
            </w:pPr>
          </w:p>
        </w:tc>
        <w:tc>
          <w:tcPr>
            <w:tcW w:w="390" w:type="dxa"/>
            <w:vMerge w:val="restart"/>
            <w:vAlign w:val="center"/>
          </w:tcPr>
          <w:p>
            <w:pPr>
              <w:rPr>
                <w:rFonts w:ascii="宋体" w:hAnsi="宋体" w:eastAsia="宋体" w:cs="宋体"/>
                <w:bCs/>
                <w:szCs w:val="21"/>
              </w:rPr>
            </w:pPr>
            <w:r>
              <w:rPr>
                <w:rFonts w:hint="eastAsia" w:ascii="宋体" w:hAnsi="宋体" w:eastAsia="宋体" w:cs="宋体"/>
                <w:bCs/>
                <w:szCs w:val="21"/>
              </w:rPr>
              <w:t>专题课</w:t>
            </w: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7122005</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技术创业</w:t>
            </w:r>
          </w:p>
        </w:tc>
        <w:tc>
          <w:tcPr>
            <w:tcW w:w="777" w:type="dxa"/>
            <w:vMerge w:val="restart"/>
            <w:vAlign w:val="center"/>
          </w:tcPr>
          <w:p>
            <w:pPr>
              <w:jc w:val="center"/>
              <w:rPr>
                <w:rFonts w:ascii="宋体" w:hAnsi="宋体" w:eastAsia="宋体" w:cs="宋体"/>
                <w:bCs/>
                <w:szCs w:val="21"/>
              </w:rPr>
            </w:pPr>
            <w:r>
              <w:rPr>
                <w:rFonts w:hint="eastAsia" w:ascii="宋体" w:hAnsi="宋体" w:eastAsia="宋体" w:cs="宋体"/>
                <w:szCs w:val="21"/>
              </w:rPr>
              <w:t>创新管理与可持续发展方向</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restart"/>
            <w:vAlign w:val="center"/>
          </w:tcPr>
          <w:p>
            <w:pPr>
              <w:jc w:val="center"/>
              <w:rPr>
                <w:rFonts w:ascii="宋体" w:hAnsi="宋体" w:eastAsia="宋体" w:cs="宋体"/>
                <w:bCs/>
                <w:szCs w:val="21"/>
              </w:rPr>
            </w:pPr>
            <w:r>
              <w:rPr>
                <w:rFonts w:hint="eastAsia" w:ascii="宋体" w:hAnsi="宋体" w:eastAsia="宋体" w:cs="宋体"/>
                <w:szCs w:val="21"/>
              </w:rPr>
              <w:t>必选2学分</w:t>
            </w:r>
          </w:p>
          <w:p>
            <w:pPr>
              <w:jc w:val="center"/>
              <w:rPr>
                <w:rFonts w:ascii="宋体" w:hAnsi="宋体" w:eastAsia="宋体" w:cs="宋体"/>
                <w:bCs/>
                <w:szCs w:val="21"/>
              </w:rPr>
            </w:pPr>
            <w:r>
              <w:rPr>
                <w:rFonts w:hint="eastAsia" w:ascii="宋体" w:hAnsi="宋体" w:eastAsia="宋体" w:cs="宋体"/>
                <w:bCs/>
                <w:szCs w:val="21"/>
              </w:rPr>
              <w:t>（本方向至少选修1学分，鼓励跨方向选修1学分）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7122006</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环境经营学</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7122007</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技术创新</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7122008</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企业家理论与实务</w:t>
            </w:r>
          </w:p>
        </w:tc>
        <w:tc>
          <w:tcPr>
            <w:tcW w:w="777" w:type="dxa"/>
            <w:vMerge w:val="restart"/>
            <w:vAlign w:val="center"/>
          </w:tcPr>
          <w:p>
            <w:pPr>
              <w:jc w:val="center"/>
              <w:rPr>
                <w:rFonts w:ascii="宋体" w:hAnsi="宋体" w:eastAsia="宋体" w:cs="宋体"/>
                <w:bCs/>
                <w:szCs w:val="21"/>
              </w:rPr>
            </w:pPr>
            <w:r>
              <w:rPr>
                <w:rFonts w:hint="eastAsia" w:ascii="宋体" w:hAnsi="宋体" w:eastAsia="宋体" w:cs="宋体"/>
                <w:szCs w:val="21"/>
              </w:rPr>
              <w:t>组织行为与人力资源管理方向</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7122009</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人力资源开发与管理</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7122010</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组织行为学</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7122011</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 xml:space="preserve"> 高级财务管理</w:t>
            </w:r>
          </w:p>
        </w:tc>
        <w:tc>
          <w:tcPr>
            <w:tcW w:w="777" w:type="dxa"/>
            <w:vMerge w:val="restart"/>
            <w:vAlign w:val="center"/>
          </w:tcPr>
          <w:p>
            <w:pPr>
              <w:jc w:val="center"/>
              <w:rPr>
                <w:rFonts w:ascii="宋体" w:hAnsi="宋体" w:eastAsia="宋体" w:cs="宋体"/>
                <w:bCs/>
                <w:szCs w:val="21"/>
              </w:rPr>
            </w:pPr>
            <w:r>
              <w:rPr>
                <w:rFonts w:hint="eastAsia" w:ascii="宋体" w:hAnsi="宋体" w:eastAsia="宋体" w:cs="宋体"/>
                <w:szCs w:val="21"/>
              </w:rPr>
              <w:t>会计与财务管理方向</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7122012</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公司治理</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7122013</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环境会计</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7122014</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物流与供应链管理</w:t>
            </w:r>
          </w:p>
        </w:tc>
        <w:tc>
          <w:tcPr>
            <w:tcW w:w="777" w:type="dxa"/>
            <w:vMerge w:val="restart"/>
            <w:vAlign w:val="center"/>
          </w:tcPr>
          <w:p>
            <w:pPr>
              <w:jc w:val="center"/>
              <w:rPr>
                <w:rFonts w:ascii="宋体" w:hAnsi="宋体" w:eastAsia="宋体" w:cs="宋体"/>
                <w:bCs/>
                <w:szCs w:val="21"/>
              </w:rPr>
            </w:pPr>
            <w:r>
              <w:rPr>
                <w:rFonts w:hint="eastAsia" w:ascii="宋体" w:hAnsi="宋体" w:eastAsia="宋体" w:cs="宋体"/>
                <w:szCs w:val="21"/>
              </w:rPr>
              <w:t>供应链与营销管理方向</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7122015</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营销管理</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390" w:type="dxa"/>
            <w:vMerge w:val="continue"/>
            <w:vAlign w:val="center"/>
          </w:tcPr>
          <w:p>
            <w:pPr>
              <w:rPr>
                <w:rFonts w:ascii="宋体" w:hAnsi="宋体" w:eastAsia="宋体" w:cs="宋体"/>
                <w:bCs/>
                <w:szCs w:val="21"/>
              </w:rPr>
            </w:pPr>
          </w:p>
        </w:tc>
        <w:tc>
          <w:tcPr>
            <w:tcW w:w="1341" w:type="dxa"/>
            <w:vAlign w:val="center"/>
          </w:tcPr>
          <w:p>
            <w:pPr>
              <w:jc w:val="center"/>
              <w:rPr>
                <w:rFonts w:ascii="宋体" w:hAnsi="宋体" w:eastAsia="宋体" w:cs="宋体"/>
                <w:bCs/>
                <w:szCs w:val="21"/>
              </w:rPr>
            </w:pPr>
            <w:r>
              <w:rPr>
                <w:rFonts w:hint="eastAsia" w:ascii="宋体" w:hAnsi="宋体" w:eastAsia="宋体" w:cs="宋体"/>
                <w:bCs/>
                <w:szCs w:val="21"/>
              </w:rPr>
              <w:t>7122015</w:t>
            </w:r>
          </w:p>
        </w:tc>
        <w:tc>
          <w:tcPr>
            <w:tcW w:w="1485" w:type="dxa"/>
            <w:vAlign w:val="center"/>
          </w:tcPr>
          <w:p>
            <w:pPr>
              <w:jc w:val="center"/>
              <w:rPr>
                <w:rFonts w:ascii="宋体" w:hAnsi="宋体" w:eastAsia="宋体" w:cs="宋体"/>
                <w:bCs/>
                <w:szCs w:val="21"/>
              </w:rPr>
            </w:pPr>
            <w:r>
              <w:rPr>
                <w:rFonts w:hint="eastAsia" w:ascii="宋体" w:hAnsi="宋体" w:eastAsia="宋体" w:cs="宋体"/>
                <w:bCs/>
                <w:szCs w:val="21"/>
              </w:rPr>
              <w:t>信息管理</w:t>
            </w:r>
          </w:p>
        </w:tc>
        <w:tc>
          <w:tcPr>
            <w:tcW w:w="777" w:type="dxa"/>
            <w:vMerge w:val="continue"/>
            <w:vAlign w:val="center"/>
          </w:tcPr>
          <w:p>
            <w:pPr>
              <w:jc w:val="center"/>
              <w:rPr>
                <w:rFonts w:ascii="宋体" w:hAnsi="宋体" w:eastAsia="宋体" w:cs="宋体"/>
                <w:bCs/>
                <w:szCs w:val="21"/>
              </w:rPr>
            </w:pP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16</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jc w:val="center"/>
        </w:trPr>
        <w:tc>
          <w:tcPr>
            <w:tcW w:w="609" w:type="dxa"/>
            <w:vMerge w:val="restart"/>
            <w:vAlign w:val="center"/>
          </w:tcPr>
          <w:p>
            <w:pPr>
              <w:rPr>
                <w:rFonts w:ascii="宋体" w:hAnsi="宋体" w:eastAsia="宋体" w:cs="宋体"/>
                <w:b/>
                <w:bCs/>
                <w:szCs w:val="21"/>
              </w:rPr>
            </w:pPr>
            <w:r>
              <w:rPr>
                <w:rFonts w:hint="eastAsia" w:ascii="宋体" w:hAnsi="宋体" w:eastAsia="宋体" w:cs="宋体"/>
                <w:b/>
                <w:bCs/>
                <w:szCs w:val="21"/>
              </w:rPr>
              <w:t>补修课</w:t>
            </w: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7123001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计量经济学基础</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restart"/>
            <w:vAlign w:val="center"/>
          </w:tcPr>
          <w:p>
            <w:pPr>
              <w:rPr>
                <w:rFonts w:ascii="宋体" w:hAnsi="宋体" w:eastAsia="宋体" w:cs="宋体"/>
                <w:bCs/>
                <w:szCs w:val="21"/>
              </w:rPr>
            </w:pPr>
            <w:r>
              <w:rPr>
                <w:rFonts w:hint="eastAsia" w:ascii="宋体" w:hAnsi="宋体" w:eastAsia="宋体" w:cs="宋体"/>
                <w:szCs w:val="21"/>
              </w:rPr>
              <w:t>跨学科或以同等学力考入的硕士研究生，在导师指导下至少选择2门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7123002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会计学</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7123003</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统计学</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32</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709" w:type="dxa"/>
            <w:vAlign w:val="center"/>
          </w:tcPr>
          <w:p>
            <w:pPr>
              <w:jc w:val="center"/>
              <w:rPr>
                <w:rFonts w:ascii="宋体" w:hAnsi="宋体" w:eastAsia="宋体" w:cs="宋体"/>
                <w:bCs/>
                <w:szCs w:val="21"/>
              </w:rPr>
            </w:pPr>
            <w:r>
              <w:rPr>
                <w:rFonts w:hint="eastAsia" w:ascii="宋体" w:hAnsi="宋体" w:eastAsia="宋体" w:cs="宋体"/>
                <w:bCs/>
                <w:szCs w:val="21"/>
              </w:rPr>
              <w:t>考查</w:t>
            </w:r>
          </w:p>
        </w:tc>
        <w:tc>
          <w:tcPr>
            <w:tcW w:w="796" w:type="dxa"/>
            <w:vMerge w:val="continue"/>
            <w:vAlign w:val="center"/>
          </w:tcPr>
          <w:p>
            <w:pP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restart"/>
            <w:vAlign w:val="center"/>
          </w:tcPr>
          <w:p>
            <w:pPr>
              <w:rPr>
                <w:rFonts w:ascii="宋体" w:hAnsi="宋体" w:eastAsia="宋体" w:cs="宋体"/>
                <w:b/>
                <w:bCs/>
                <w:szCs w:val="21"/>
              </w:rPr>
            </w:pPr>
            <w:r>
              <w:rPr>
                <w:rFonts w:hint="eastAsia" w:ascii="宋体" w:hAnsi="宋体" w:eastAsia="宋体" w:cs="宋体"/>
                <w:b/>
                <w:bCs/>
                <w:szCs w:val="21"/>
              </w:rPr>
              <w:t>必修环节</w:t>
            </w: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7124001</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开题报告</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3</w:t>
            </w:r>
          </w:p>
        </w:tc>
        <w:tc>
          <w:tcPr>
            <w:tcW w:w="720" w:type="dxa"/>
            <w:vAlign w:val="center"/>
          </w:tcPr>
          <w:p>
            <w:pPr>
              <w:jc w:val="center"/>
              <w:rPr>
                <w:rFonts w:ascii="宋体" w:hAnsi="宋体" w:eastAsia="宋体" w:cs="宋体"/>
                <w:bCs/>
                <w:szCs w:val="21"/>
              </w:rPr>
            </w:pP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7124002</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中期检查</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4</w:t>
            </w:r>
          </w:p>
        </w:tc>
        <w:tc>
          <w:tcPr>
            <w:tcW w:w="720" w:type="dxa"/>
            <w:vAlign w:val="center"/>
          </w:tcPr>
          <w:p>
            <w:pPr>
              <w:jc w:val="center"/>
              <w:rPr>
                <w:rFonts w:ascii="宋体" w:hAnsi="宋体" w:eastAsia="宋体" w:cs="宋体"/>
                <w:bCs/>
                <w:szCs w:val="21"/>
              </w:rPr>
            </w:pP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7124003</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预答辩</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5</w:t>
            </w:r>
          </w:p>
        </w:tc>
        <w:tc>
          <w:tcPr>
            <w:tcW w:w="720" w:type="dxa"/>
            <w:vAlign w:val="center"/>
          </w:tcPr>
          <w:p>
            <w:pPr>
              <w:jc w:val="center"/>
              <w:rPr>
                <w:rFonts w:ascii="宋体" w:hAnsi="宋体" w:eastAsia="宋体" w:cs="宋体"/>
                <w:bCs/>
                <w:szCs w:val="21"/>
              </w:rPr>
            </w:pP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2</w:t>
            </w:r>
          </w:p>
        </w:tc>
        <w:tc>
          <w:tcPr>
            <w:tcW w:w="1663" w:type="dxa"/>
            <w:vAlign w:val="center"/>
          </w:tcPr>
          <w:p>
            <w:pPr>
              <w:jc w:val="center"/>
              <w:rPr>
                <w:rFonts w:ascii="宋体" w:hAnsi="宋体" w:eastAsia="宋体" w:cs="宋体"/>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7124004</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答辩</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6</w:t>
            </w:r>
          </w:p>
        </w:tc>
        <w:tc>
          <w:tcPr>
            <w:tcW w:w="720" w:type="dxa"/>
            <w:vAlign w:val="center"/>
          </w:tcPr>
          <w:p>
            <w:pPr>
              <w:jc w:val="center"/>
              <w:rPr>
                <w:rFonts w:ascii="宋体" w:hAnsi="宋体" w:eastAsia="宋体" w:cs="宋体"/>
                <w:bCs/>
                <w:szCs w:val="21"/>
              </w:rPr>
            </w:pP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3</w:t>
            </w:r>
          </w:p>
        </w:tc>
        <w:tc>
          <w:tcPr>
            <w:tcW w:w="1663" w:type="dxa"/>
            <w:vAlign w:val="center"/>
          </w:tcPr>
          <w:p>
            <w:pPr>
              <w:jc w:val="center"/>
              <w:rPr>
                <w:rFonts w:ascii="宋体" w:hAnsi="宋体" w:eastAsia="宋体" w:cs="宋体"/>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7124005</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学术活动</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1-5</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》=5</w:t>
            </w:r>
          </w:p>
        </w:tc>
        <w:tc>
          <w:tcPr>
            <w:tcW w:w="720" w:type="dxa"/>
            <w:vAlign w:val="center"/>
          </w:tcPr>
          <w:p>
            <w:pPr>
              <w:jc w:val="center"/>
              <w:rPr>
                <w:rFonts w:ascii="宋体" w:hAnsi="宋体" w:eastAsia="宋体" w:cs="宋体"/>
                <w:bCs/>
                <w:szCs w:val="21"/>
              </w:rPr>
            </w:pPr>
            <w:r>
              <w:rPr>
                <w:rFonts w:hint="eastAsia" w:ascii="宋体" w:hAnsi="宋体" w:eastAsia="宋体" w:cs="宋体"/>
                <w:bCs/>
                <w:szCs w:val="21"/>
              </w:rPr>
              <w:t>1</w:t>
            </w: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09" w:type="dxa"/>
            <w:vMerge w:val="continue"/>
            <w:vAlign w:val="center"/>
          </w:tcPr>
          <w:p>
            <w:pPr>
              <w:rPr>
                <w:rFonts w:ascii="宋体" w:hAnsi="宋体" w:eastAsia="宋体" w:cs="宋体"/>
                <w:b/>
                <w:bCs/>
                <w:szCs w:val="21"/>
              </w:rPr>
            </w:pPr>
          </w:p>
        </w:tc>
        <w:tc>
          <w:tcPr>
            <w:tcW w:w="1731" w:type="dxa"/>
            <w:gridSpan w:val="2"/>
            <w:vAlign w:val="center"/>
          </w:tcPr>
          <w:p>
            <w:pPr>
              <w:jc w:val="center"/>
              <w:rPr>
                <w:rFonts w:ascii="宋体" w:hAnsi="宋体" w:eastAsia="宋体" w:cs="宋体"/>
                <w:bCs/>
                <w:szCs w:val="21"/>
              </w:rPr>
            </w:pPr>
            <w:r>
              <w:rPr>
                <w:rFonts w:hint="eastAsia" w:ascii="宋体" w:hAnsi="宋体" w:eastAsia="宋体" w:cs="宋体"/>
                <w:bCs/>
                <w:szCs w:val="21"/>
              </w:rPr>
              <w:t>7124006</w:t>
            </w:r>
          </w:p>
        </w:tc>
        <w:tc>
          <w:tcPr>
            <w:tcW w:w="2262" w:type="dxa"/>
            <w:gridSpan w:val="2"/>
            <w:vAlign w:val="center"/>
          </w:tcPr>
          <w:p>
            <w:pPr>
              <w:jc w:val="center"/>
              <w:rPr>
                <w:rFonts w:ascii="宋体" w:hAnsi="宋体" w:eastAsia="宋体" w:cs="宋体"/>
                <w:bCs/>
                <w:szCs w:val="21"/>
              </w:rPr>
            </w:pPr>
            <w:r>
              <w:rPr>
                <w:rFonts w:hint="eastAsia" w:ascii="宋体" w:hAnsi="宋体" w:eastAsia="宋体" w:cs="宋体"/>
                <w:bCs/>
                <w:szCs w:val="21"/>
              </w:rPr>
              <w:t>实践环节</w:t>
            </w:r>
          </w:p>
        </w:tc>
        <w:tc>
          <w:tcPr>
            <w:tcW w:w="798" w:type="dxa"/>
            <w:vAlign w:val="center"/>
          </w:tcPr>
          <w:p>
            <w:pPr>
              <w:jc w:val="center"/>
              <w:rPr>
                <w:rFonts w:ascii="宋体" w:hAnsi="宋体" w:eastAsia="宋体" w:cs="宋体"/>
                <w:bCs/>
                <w:szCs w:val="21"/>
              </w:rPr>
            </w:pPr>
            <w:r>
              <w:rPr>
                <w:rFonts w:hint="eastAsia" w:ascii="宋体" w:hAnsi="宋体" w:eastAsia="宋体" w:cs="宋体"/>
                <w:bCs/>
                <w:szCs w:val="21"/>
              </w:rPr>
              <w:t>3-5</w:t>
            </w:r>
          </w:p>
        </w:tc>
        <w:tc>
          <w:tcPr>
            <w:tcW w:w="720" w:type="dxa"/>
            <w:vAlign w:val="center"/>
          </w:tcPr>
          <w:p>
            <w:pPr>
              <w:jc w:val="center"/>
              <w:rPr>
                <w:rFonts w:ascii="宋体" w:hAnsi="宋体" w:eastAsia="宋体" w:cs="宋体"/>
                <w:bCs/>
                <w:szCs w:val="21"/>
              </w:rPr>
            </w:pPr>
          </w:p>
        </w:tc>
        <w:tc>
          <w:tcPr>
            <w:tcW w:w="720" w:type="dxa"/>
            <w:vAlign w:val="center"/>
          </w:tcPr>
          <w:p>
            <w:pPr>
              <w:jc w:val="center"/>
              <w:rPr>
                <w:rFonts w:ascii="宋体" w:hAnsi="宋体" w:eastAsia="宋体" w:cs="宋体"/>
                <w:bCs/>
                <w:szCs w:val="21"/>
              </w:rPr>
            </w:pPr>
          </w:p>
        </w:tc>
        <w:tc>
          <w:tcPr>
            <w:tcW w:w="1663" w:type="dxa"/>
            <w:vAlign w:val="center"/>
          </w:tcPr>
          <w:p>
            <w:pPr>
              <w:jc w:val="center"/>
              <w:rPr>
                <w:rFonts w:ascii="宋体" w:hAnsi="宋体" w:eastAsia="宋体" w:cs="宋体"/>
                <w:bCs/>
                <w:szCs w:val="21"/>
              </w:rPr>
            </w:pPr>
            <w:r>
              <w:rPr>
                <w:rFonts w:hint="eastAsia" w:ascii="宋体" w:hAnsi="宋体" w:eastAsia="宋体" w:cs="宋体"/>
                <w:bCs/>
                <w:szCs w:val="21"/>
              </w:rPr>
              <w:t>工商管理学院</w:t>
            </w:r>
          </w:p>
        </w:tc>
        <w:tc>
          <w:tcPr>
            <w:tcW w:w="1505" w:type="dxa"/>
            <w:gridSpan w:val="2"/>
            <w:vAlign w:val="center"/>
          </w:tcPr>
          <w:p>
            <w:pPr>
              <w:jc w:val="center"/>
              <w:rPr>
                <w:rFonts w:ascii="宋体" w:hAnsi="宋体" w:eastAsia="宋体" w:cs="宋体"/>
                <w:bCs/>
                <w:szCs w:val="21"/>
              </w:rPr>
            </w:pPr>
          </w:p>
        </w:tc>
      </w:tr>
    </w:tbl>
    <w:p>
      <w:pPr>
        <w:rPr>
          <w:rFonts w:ascii="宋体" w:hAnsi="宋体" w:eastAsia="宋体" w:cs="宋体"/>
          <w:color w:val="000000"/>
          <w:kern w:val="0"/>
          <w:sz w:val="24"/>
          <w:szCs w:val="24"/>
        </w:rPr>
      </w:pPr>
    </w:p>
    <w:p>
      <w:pPr>
        <w:ind w:firstLine="560" w:firstLineChars="200"/>
        <w:rPr>
          <w:bCs/>
          <w:color w:val="000000"/>
          <w:sz w:val="28"/>
          <w:szCs w:val="28"/>
          <w:shd w:val="clear" w:color="auto" w:fill="FFFFFF"/>
        </w:rPr>
      </w:pPr>
      <w:r>
        <w:rPr>
          <w:rFonts w:hint="eastAsia"/>
          <w:bCs/>
          <w:color w:val="000000"/>
          <w:sz w:val="28"/>
          <w:szCs w:val="28"/>
          <w:shd w:val="clear" w:color="auto" w:fill="FFFFFF"/>
        </w:rPr>
        <w:t>二、获本学科（类别）硕士学位应具备的基本素质</w:t>
      </w:r>
    </w:p>
    <w:p>
      <w:pPr>
        <w:widowControl/>
        <w:shd w:val="clear" w:color="auto" w:fill="FFFFFF"/>
        <w:spacing w:line="315" w:lineRule="atLeast"/>
        <w:ind w:firstLine="48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获本学科（类别）硕士学位应具备如下基本素质</w:t>
      </w:r>
      <w:r>
        <w:rPr>
          <w:rFonts w:hint="eastAsia" w:ascii="宋体" w:hAnsi="宋体" w:eastAsia="宋体" w:cs="宋体"/>
          <w:color w:val="000000"/>
          <w:kern w:val="0"/>
          <w:sz w:val="24"/>
          <w:szCs w:val="24"/>
          <w:lang w:val="en-US" w:eastAsia="zh-CN"/>
        </w:rPr>
        <w:t>:</w:t>
      </w:r>
    </w:p>
    <w:p>
      <w:pPr>
        <w:widowControl/>
        <w:shd w:val="clear" w:color="auto" w:fill="FFFFFF"/>
        <w:spacing w:line="315"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1.具备较好的学术素养，在学术论文撰写的规范性、分析的逻辑性和系统性、理论运用的合理性、文献资料查阅能力、对研究现状和前沿的把握等方面达到应有的水平，初步具备独立开展学术研究的能力。</w:t>
      </w:r>
    </w:p>
    <w:p>
      <w:pPr>
        <w:widowControl/>
        <w:shd w:val="clear" w:color="auto" w:fill="FFFFFF"/>
        <w:spacing w:line="315"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2.具备良好的学术道德，尊重他人的研究成果，坚决抵制学术不端行为。</w:t>
      </w:r>
    </w:p>
    <w:p>
      <w:pPr>
        <w:widowControl/>
        <w:shd w:val="clear" w:color="auto" w:fill="FFFFFF"/>
        <w:spacing w:line="315"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具备良好的职业道德和职业精神。</w:t>
      </w:r>
    </w:p>
    <w:p>
      <w:pPr>
        <w:ind w:firstLine="560" w:firstLineChars="200"/>
        <w:rPr>
          <w:bCs/>
          <w:color w:val="000000"/>
          <w:sz w:val="28"/>
          <w:szCs w:val="28"/>
          <w:shd w:val="clear" w:color="auto" w:fill="FFFFFF"/>
        </w:rPr>
      </w:pPr>
      <w:r>
        <w:rPr>
          <w:rFonts w:hint="eastAsia"/>
          <w:bCs/>
          <w:color w:val="000000"/>
          <w:sz w:val="28"/>
          <w:szCs w:val="28"/>
          <w:shd w:val="clear" w:color="auto" w:fill="FFFFFF"/>
        </w:rPr>
        <w:t>三、获本学科（类别）硕士学位应具备的基本能力</w:t>
      </w:r>
    </w:p>
    <w:p>
      <w:pPr>
        <w:ind w:firstLine="480" w:firstLineChars="20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获本学科（类别）硕士学位应具备如下基本能力</w:t>
      </w:r>
      <w:r>
        <w:rPr>
          <w:rFonts w:hint="eastAsia" w:ascii="宋体" w:hAnsi="宋体" w:eastAsia="宋体" w:cs="宋体"/>
          <w:color w:val="000000"/>
          <w:kern w:val="0"/>
          <w:sz w:val="24"/>
          <w:szCs w:val="24"/>
          <w:lang w:val="en-US" w:eastAsia="zh-CN"/>
        </w:rPr>
        <w:t>:</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深入了解和认识工商管理学科已有的研究成果，掌握工商管理所属研究领域的相关理论和研究方法，善与理论联系实际，善与提炼科学问题，善于针对所研究的问题选择合适的研究方法。</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在导师的指导下，独立或合作开展理论或应用研究，研究成果具有一定的理论价值和应用价值。</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善于总结和抽象自己研究的创新之处和不足之处，归纳自己研究的理论价值和实践价值，能够以规范的学术论文、研究报告或口头形式，清晰表达自己的学术观点，展现研究成果。</w:t>
      </w:r>
    </w:p>
    <w:p>
      <w:pPr>
        <w:ind w:firstLine="560" w:firstLineChars="200"/>
        <w:rPr>
          <w:bCs/>
          <w:color w:val="000000"/>
          <w:sz w:val="28"/>
          <w:szCs w:val="28"/>
          <w:shd w:val="clear" w:color="auto" w:fill="FFFFFF"/>
        </w:rPr>
      </w:pPr>
      <w:r>
        <w:rPr>
          <w:rFonts w:hint="eastAsia"/>
          <w:bCs/>
          <w:color w:val="000000"/>
          <w:sz w:val="28"/>
          <w:szCs w:val="28"/>
          <w:shd w:val="clear" w:color="auto" w:fill="FFFFFF"/>
        </w:rPr>
        <w:t>四、学位论文基本要求</w:t>
      </w:r>
    </w:p>
    <w:p>
      <w:pPr>
        <w:ind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本学科硕士学位论文应由研究生与导师共同确定题目，选题应该针对微观层面的企业，或产业层面、区域层面，并符合本学科前述四个培养方向的范畴。论文所选问题可以是工商管理领域的基础理论研究、应用研究或综合研究。论文应符合以下要求</w:t>
      </w:r>
      <w:r>
        <w:rPr>
          <w:rFonts w:hint="eastAsia" w:ascii="宋体" w:hAnsi="宋体" w:eastAsia="宋体" w:cs="宋体"/>
          <w:color w:val="000000"/>
          <w:kern w:val="0"/>
          <w:sz w:val="24"/>
          <w:szCs w:val="24"/>
          <w:lang w:val="en-US" w:eastAsia="zh-CN"/>
        </w:rPr>
        <w:t>:</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.学</w:t>
      </w:r>
      <w:r>
        <w:rPr>
          <w:rFonts w:ascii="宋体" w:hAnsi="宋体" w:eastAsia="宋体" w:cs="宋体"/>
          <w:color w:val="000000"/>
          <w:kern w:val="0"/>
          <w:sz w:val="24"/>
          <w:szCs w:val="24"/>
        </w:rPr>
        <w:t>术道德与知识产权</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本</w:t>
      </w:r>
      <w:r>
        <w:rPr>
          <w:rFonts w:ascii="宋体" w:hAnsi="宋体" w:eastAsia="宋体" w:cs="宋体"/>
          <w:color w:val="000000"/>
          <w:kern w:val="0"/>
          <w:sz w:val="24"/>
          <w:szCs w:val="24"/>
        </w:rPr>
        <w:t>学科的硕士学位论文必须是一篇系统、完整和规范的学术论文。研究生应在导师的指导下独立完成学位论文，不得抄袭和剽窃他人成果。在论文中引用了他人学术成果的，应通过参考文献或致谢、声明等形式予以承认。</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2.文献阅读</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研究生在学位论文答辩之前，必须按照专业方向在导师组指定的学习书目与阅读文献中阅读本学科书目</w:t>
      </w:r>
      <w:r>
        <w:rPr>
          <w:rFonts w:ascii="宋体" w:hAnsi="宋体" w:eastAsia="宋体" w:cs="宋体"/>
          <w:color w:val="000000"/>
          <w:kern w:val="0"/>
          <w:sz w:val="24"/>
          <w:szCs w:val="24"/>
        </w:rPr>
        <w:t>20部左右及相关的学术期刊，并完成10万字左右的读书笔记，经导师和导师组审阅通过后，方可进行学位论文答辩。学位论文开题前的阅读量至少应有100万字，读书笔记至少3万字，其他文献阅读工作可在学位论文开题后答辩前完成。导师组每学期期末举行一次文献阅读总结汇报会。</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选题、内容和撰写</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学位论文的选题必须具有一定的理论意义和现实意义，研究主题明确，结构合理，层次分明，资料详实、充分、可靠，研究方法规范，分析和论证逻辑严谨，文字流畅，格式规范，结论不仅具有一定的可靠性和稳定性，还应具有一定的理论价值或应用价值。</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工作量</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学位论文的参考文献数量</w:t>
      </w:r>
      <w:r>
        <w:rPr>
          <w:rFonts w:ascii="宋体" w:hAnsi="宋体" w:eastAsia="宋体" w:cs="宋体"/>
          <w:color w:val="000000"/>
          <w:kern w:val="0"/>
          <w:sz w:val="24"/>
          <w:szCs w:val="24"/>
        </w:rPr>
        <w:t>不少于40篇，其中外文文献</w:t>
      </w:r>
      <w:r>
        <w:rPr>
          <w:rFonts w:hint="eastAsia" w:ascii="宋体" w:hAnsi="宋体" w:eastAsia="宋体" w:cs="宋体"/>
          <w:color w:val="000000"/>
          <w:kern w:val="0"/>
          <w:sz w:val="24"/>
          <w:szCs w:val="24"/>
        </w:rPr>
        <w:t>不少于</w:t>
      </w:r>
      <w:r>
        <w:rPr>
          <w:rFonts w:ascii="宋体" w:hAnsi="宋体" w:eastAsia="宋体" w:cs="宋体"/>
          <w:color w:val="000000"/>
          <w:kern w:val="0"/>
          <w:sz w:val="24"/>
          <w:szCs w:val="24"/>
        </w:rPr>
        <w:t>三分之一，且应在绪论（或引言）部分对所读文献加以分析和综合。</w:t>
      </w:r>
      <w:r>
        <w:rPr>
          <w:rFonts w:hint="eastAsia" w:ascii="宋体" w:hAnsi="宋体" w:eastAsia="宋体" w:cs="宋体"/>
          <w:color w:val="000000"/>
          <w:kern w:val="0"/>
          <w:sz w:val="24"/>
          <w:szCs w:val="24"/>
        </w:rPr>
        <w:t>参考文献需为实际参考的文献，不得作伪注。</w:t>
      </w:r>
      <w:r>
        <w:rPr>
          <w:rFonts w:ascii="宋体" w:hAnsi="宋体" w:eastAsia="宋体" w:cs="宋体"/>
          <w:color w:val="000000"/>
          <w:kern w:val="0"/>
          <w:sz w:val="24"/>
          <w:szCs w:val="24"/>
        </w:rPr>
        <w:t>学位论文用中文撰写，正文应不少于3万字。</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规范性</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学位论文的写作尽量避免使用文学性质的或带感情色彩的非学术性词语，排版整齐规范，图表和公式标准，参考文献齐全并按标准编排。论文中如出现非通用性的新名词、新术语、新概念，应做相应解释。学位论文一般应由以下全部或某几部分组成，依次为：封面、独创性声明、中文摘要、英文摘要、目录、符号说明、正文、参考文献、附录、附图表、致谢、攻读学位期间发表的学术论文目录等。</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论文具体的结构和版式遵照《辽宁科技大学硕士学位论文撰写要求》执行。</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科学研究</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研究生在申请硕士学位以前，其研究工作应符合下列条件：</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 xml:space="preserve">1）必须在省级及以上期刊公开发表本专业领域科研论文1篇，在论文答辩前应提交论文原件或者论文录用通知，否则不允许参加答辩。发表的科研论文要求导师为第一作者、学生为第二作者。发表的科研论文所属单位须注明辽宁科技大学工商管理学院字样；     </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2）学位论文原则上需与导师的研究方向保持一致，学生参与导师的纵向或横向科研项目，并在研究过程中进行选题。</w:t>
      </w:r>
    </w:p>
    <w:p>
      <w:pPr>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7.论文答辩</w:t>
      </w:r>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完成所有培养环节并通过学位论文预审者，按照《辽宁科技大学硕士学位论文答辩和学位申请办法》的规定申请学位论文答辩及学位。学位授予程序按《辽宁科技大学硕士学位授予工作实施细则》进行。论文答辩不通过者可在</w:t>
      </w:r>
      <w:r>
        <w:rPr>
          <w:rFonts w:ascii="宋体" w:hAnsi="宋体" w:eastAsia="宋体" w:cs="宋体"/>
          <w:color w:val="000000"/>
          <w:kern w:val="0"/>
          <w:sz w:val="24"/>
          <w:szCs w:val="24"/>
        </w:rPr>
        <w:t>1年内申请，重新答辩一次。</w:t>
      </w:r>
    </w:p>
    <w:p>
      <w:pPr>
        <w:ind w:firstLine="480" w:firstLineChars="200"/>
        <w:rPr>
          <w:rFonts w:ascii="宋体" w:hAnsi="宋体" w:eastAsia="宋体" w:cs="宋体"/>
          <w:color w:val="000000"/>
          <w:kern w:val="0"/>
          <w:sz w:val="24"/>
          <w:szCs w:val="24"/>
        </w:rPr>
      </w:pPr>
    </w:p>
    <w:p>
      <w:pPr>
        <w:widowControl/>
        <w:shd w:val="clear" w:color="auto" w:fill="FFFFFF"/>
        <w:spacing w:line="315" w:lineRule="atLeast"/>
        <w:jc w:val="center"/>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第三部分     编写成员</w:t>
      </w:r>
    </w:p>
    <w:p>
      <w:pPr>
        <w:ind w:left="210" w:leftChars="100" w:firstLine="240" w:firstLineChars="10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李天柱 </w:t>
      </w:r>
      <w:r>
        <w:rPr>
          <w:rFonts w:ascii="宋体" w:hAnsi="宋体" w:eastAsia="宋体" w:cs="宋体"/>
          <w:color w:val="000000"/>
          <w:kern w:val="0"/>
          <w:sz w:val="24"/>
          <w:szCs w:val="24"/>
        </w:rPr>
        <w:t>朱晓林</w:t>
      </w:r>
      <w:r>
        <w:rPr>
          <w:rFonts w:hint="eastAsia" w:ascii="宋体" w:hAnsi="宋体" w:eastAsia="宋体" w:cs="宋体"/>
          <w:color w:val="000000"/>
          <w:kern w:val="0"/>
          <w:sz w:val="24"/>
          <w:szCs w:val="24"/>
        </w:rPr>
        <w:t xml:space="preserve"> 刘洪玉 </w:t>
      </w:r>
      <w:r>
        <w:rPr>
          <w:rFonts w:ascii="宋体" w:hAnsi="宋体" w:eastAsia="宋体" w:cs="宋体"/>
          <w:color w:val="000000"/>
          <w:kern w:val="0"/>
          <w:sz w:val="24"/>
          <w:szCs w:val="24"/>
        </w:rPr>
        <w:t>金玉然</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 xml:space="preserve">王亚东 李华 王谦 王宏波 张本越 </w:t>
      </w:r>
    </w:p>
    <w:p>
      <w:pPr>
        <w:ind w:left="210" w:leftChars="10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任成好 马晓琳 </w:t>
      </w:r>
      <w:bookmarkStart w:id="0" w:name="_GoBack"/>
      <w:bookmarkEnd w:id="0"/>
      <w:r>
        <w:rPr>
          <w:rFonts w:ascii="宋体" w:hAnsi="宋体" w:eastAsia="宋体" w:cs="宋体"/>
          <w:color w:val="000000"/>
          <w:kern w:val="0"/>
          <w:sz w:val="24"/>
          <w:szCs w:val="24"/>
        </w:rPr>
        <w:t>董建维</w:t>
      </w:r>
    </w:p>
    <w:p>
      <w:pPr>
        <w:rPr>
          <w:b/>
          <w:bCs/>
          <w:color w:val="000000"/>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1DD"/>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447B"/>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4F4C"/>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E26"/>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1E64"/>
    <w:rsid w:val="00232E7C"/>
    <w:rsid w:val="00234BD4"/>
    <w:rsid w:val="002360FE"/>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BA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0A"/>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3E49"/>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6BA5"/>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9B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25"/>
    <w:rsid w:val="008D08FE"/>
    <w:rsid w:val="008D0A0C"/>
    <w:rsid w:val="008D0FAB"/>
    <w:rsid w:val="008D1681"/>
    <w:rsid w:val="008D2448"/>
    <w:rsid w:val="008D2DA6"/>
    <w:rsid w:val="008D4037"/>
    <w:rsid w:val="008D441C"/>
    <w:rsid w:val="008D6315"/>
    <w:rsid w:val="008D6346"/>
    <w:rsid w:val="008E0858"/>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6C3"/>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445"/>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0ED9"/>
    <w:rsid w:val="00BB2728"/>
    <w:rsid w:val="00BB289C"/>
    <w:rsid w:val="00BB361F"/>
    <w:rsid w:val="00BB3ADC"/>
    <w:rsid w:val="00BB3C71"/>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4FD2"/>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5A9"/>
    <w:rsid w:val="00D8163A"/>
    <w:rsid w:val="00D83A8E"/>
    <w:rsid w:val="00D84665"/>
    <w:rsid w:val="00D86118"/>
    <w:rsid w:val="00D90588"/>
    <w:rsid w:val="00D929A6"/>
    <w:rsid w:val="00D93494"/>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5EDA"/>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2E0"/>
    <w:rsid w:val="00DC5A87"/>
    <w:rsid w:val="00DC5FE9"/>
    <w:rsid w:val="00DC6769"/>
    <w:rsid w:val="00DC737F"/>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690"/>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1044"/>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252A29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557</Words>
  <Characters>3178</Characters>
  <Lines>26</Lines>
  <Paragraphs>7</Paragraphs>
  <TotalTime>82</TotalTime>
  <ScaleCrop>false</ScaleCrop>
  <LinksUpToDate>false</LinksUpToDate>
  <CharactersWithSpaces>3728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2019-06-19T00:37:00Z</dcterms:created>
  <dc:creator>孙义权</dc:creator>
  <cp:lastModifiedBy>Administrator</cp:lastModifiedBy>
  <dcterms:modified xsi:type="dcterms:W3CDTF">2019-07-22T06:20:13Z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